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7B5E" w14:textId="051299C9" w:rsidR="00AC5DBB" w:rsidRPr="00AC5DBB" w:rsidRDefault="00AC5DBB" w:rsidP="00AC5DBB">
      <w:pPr>
        <w:pStyle w:val="a7"/>
        <w:jc w:val="center"/>
        <w:rPr>
          <w:rFonts w:ascii="PT Sans" w:hAnsi="PT Sans"/>
          <w:b/>
          <w:bCs/>
          <w:sz w:val="28"/>
          <w:szCs w:val="28"/>
        </w:rPr>
      </w:pPr>
      <w:r w:rsidRPr="00AC5DBB">
        <w:rPr>
          <w:rFonts w:ascii="PT Sans" w:hAnsi="PT Sans"/>
          <w:b/>
          <w:bCs/>
          <w:sz w:val="28"/>
          <w:szCs w:val="28"/>
        </w:rPr>
        <w:t>Тюковой пресс SIPMA PK 4010 KOSTKA</w:t>
      </w:r>
    </w:p>
    <w:p w14:paraId="74EB715B" w14:textId="6A4F33A5" w:rsidR="00AC5DBB" w:rsidRPr="00AC5DBB" w:rsidRDefault="00AC5DBB" w:rsidP="00AC5DBB">
      <w:pPr>
        <w:pStyle w:val="a7"/>
        <w:jc w:val="both"/>
        <w:rPr>
          <w:rFonts w:ascii="PT Sans" w:hAnsi="PT Sans"/>
        </w:rPr>
      </w:pPr>
      <w:r w:rsidRPr="00AC5DBB">
        <w:rPr>
          <w:rFonts w:ascii="PT Sans" w:hAnsi="PT Sans"/>
          <w:noProof/>
        </w:rPr>
        <w:drawing>
          <wp:anchor distT="0" distB="0" distL="114300" distR="114300" simplePos="0" relativeHeight="251658240" behindDoc="1" locked="0" layoutInCell="1" allowOverlap="1" wp14:anchorId="0FC51565" wp14:editId="7B7D42DD">
            <wp:simplePos x="0" y="0"/>
            <wp:positionH relativeFrom="margin">
              <wp:align>center</wp:align>
            </wp:positionH>
            <wp:positionV relativeFrom="paragraph">
              <wp:posOffset>12700</wp:posOffset>
            </wp:positionV>
            <wp:extent cx="5438775" cy="3771900"/>
            <wp:effectExtent l="0" t="0" r="9525" b="0"/>
            <wp:wrapTight wrapText="bothSides">
              <wp:wrapPolygon edited="0">
                <wp:start x="0" y="0"/>
                <wp:lineTo x="0" y="21491"/>
                <wp:lineTo x="21562" y="21491"/>
                <wp:lineTo x="2156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775" cy="377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8C5E1" w14:textId="10F5651C" w:rsidR="00AC5DBB" w:rsidRPr="00AC5DBB" w:rsidRDefault="00AC5DBB" w:rsidP="00AC5DBB">
      <w:pPr>
        <w:pStyle w:val="a7"/>
        <w:jc w:val="both"/>
        <w:rPr>
          <w:rFonts w:ascii="PT Sans" w:hAnsi="PT Sans"/>
        </w:rPr>
      </w:pPr>
    </w:p>
    <w:p w14:paraId="3CBB7888" w14:textId="77777777" w:rsidR="00AC5DBB" w:rsidRPr="00AC5DBB" w:rsidRDefault="00AC5DBB" w:rsidP="00AC5DBB">
      <w:pPr>
        <w:pStyle w:val="a7"/>
        <w:jc w:val="both"/>
        <w:rPr>
          <w:rFonts w:ascii="PT Sans" w:hAnsi="PT Sans"/>
        </w:rPr>
      </w:pPr>
    </w:p>
    <w:p w14:paraId="31BCCC92" w14:textId="301CEFD3" w:rsidR="00AC5DBB" w:rsidRPr="00AC5DBB" w:rsidRDefault="00AC5DBB" w:rsidP="00AC5DBB">
      <w:pPr>
        <w:pStyle w:val="a7"/>
        <w:jc w:val="both"/>
        <w:rPr>
          <w:rFonts w:ascii="PT Sans" w:hAnsi="PT Sans"/>
        </w:rPr>
      </w:pPr>
    </w:p>
    <w:p w14:paraId="3EFEACEA" w14:textId="1DF389D4" w:rsidR="00AC5DBB" w:rsidRPr="00AC5DBB" w:rsidRDefault="00AC5DBB" w:rsidP="00AC5DBB">
      <w:pPr>
        <w:pStyle w:val="a7"/>
        <w:jc w:val="both"/>
        <w:rPr>
          <w:rFonts w:ascii="PT Sans" w:hAnsi="PT Sans"/>
        </w:rPr>
      </w:pPr>
    </w:p>
    <w:p w14:paraId="450F7F56" w14:textId="4F96E154" w:rsidR="00AC5DBB" w:rsidRPr="00AC5DBB" w:rsidRDefault="00AC5DBB" w:rsidP="00AC5DBB">
      <w:pPr>
        <w:pStyle w:val="a7"/>
        <w:jc w:val="both"/>
        <w:rPr>
          <w:rFonts w:ascii="PT Sans" w:hAnsi="PT Sans"/>
        </w:rPr>
      </w:pPr>
      <w:r w:rsidRPr="00AC5DBB">
        <w:rPr>
          <w:rFonts w:ascii="PT Sans" w:hAnsi="PT Sans"/>
        </w:rPr>
        <w:t>Тюковой пресс SIPMA PK 4010 KOSTKA – это идеальная машина для сбора соломы, применяемая также с успехом для сбора сена</w:t>
      </w:r>
    </w:p>
    <w:p w14:paraId="7E94D118" w14:textId="02406D98" w:rsidR="00AC5DBB" w:rsidRPr="00AC5DBB" w:rsidRDefault="00AC5DBB" w:rsidP="00AC5DBB">
      <w:pPr>
        <w:pStyle w:val="a7"/>
        <w:jc w:val="both"/>
        <w:rPr>
          <w:rFonts w:ascii="PT Sans" w:hAnsi="PT Sans"/>
        </w:rPr>
      </w:pPr>
      <w:r w:rsidRPr="00AC5DBB">
        <w:rPr>
          <w:rFonts w:ascii="PT Sans" w:hAnsi="PT Sans"/>
        </w:rPr>
        <w:t>Тюковой пресс SIPMA PK 4000 KOSTKA – это идеальная машина для сбора соломы, применяемая также с успехом для сбора сена. Оптимальная конструкция, отличные рабочие параметры, прочность и надежность машины – это качества, благодаря которым фирма СИПМА АО производит эти прессы уже более 30 лет, постоянно улучшая их конструкцию. На сегодняшний день в сельском хозяйстве уже работает почти 100 000 штук этих машин.</w:t>
      </w:r>
    </w:p>
    <w:p w14:paraId="2E26712B" w14:textId="77777777" w:rsidR="00AC5DBB" w:rsidRPr="00AC5DBB" w:rsidRDefault="00AC5DBB" w:rsidP="00AC5DBB">
      <w:pPr>
        <w:pStyle w:val="a7"/>
        <w:jc w:val="both"/>
        <w:rPr>
          <w:rFonts w:ascii="PT Sans" w:hAnsi="PT Sans"/>
        </w:rPr>
      </w:pPr>
      <w:r w:rsidRPr="00AC5DBB">
        <w:rPr>
          <w:rStyle w:val="a8"/>
          <w:rFonts w:ascii="PT Sans" w:hAnsi="PT Sans"/>
        </w:rPr>
        <w:t>Конструкция камеры пресса </w:t>
      </w:r>
      <w:r w:rsidRPr="00AC5DBB">
        <w:rPr>
          <w:rFonts w:ascii="PT Sans" w:hAnsi="PT Sans"/>
        </w:rPr>
        <w:t xml:space="preserve">дает возможность регулировки степени сжатия (до </w:t>
      </w:r>
      <w:proofErr w:type="spellStart"/>
      <w:r w:rsidRPr="00AC5DBB">
        <w:rPr>
          <w:rFonts w:ascii="PT Sans" w:hAnsi="PT Sans"/>
        </w:rPr>
        <w:t>ок</w:t>
      </w:r>
      <w:proofErr w:type="spellEnd"/>
      <w:r w:rsidRPr="00AC5DBB">
        <w:rPr>
          <w:rFonts w:ascii="PT Sans" w:hAnsi="PT Sans"/>
        </w:rPr>
        <w:t>. 180 кг/м³), установки длины брикета от 0,3 до 1,3 м и установки выпадающих тюков в разных плоскостях.</w:t>
      </w:r>
    </w:p>
    <w:p w14:paraId="13D04462" w14:textId="77777777" w:rsidR="00AC5DBB" w:rsidRPr="00AC5DBB" w:rsidRDefault="00AC5DBB" w:rsidP="00AC5DBB">
      <w:pPr>
        <w:pStyle w:val="a7"/>
        <w:jc w:val="both"/>
        <w:rPr>
          <w:rFonts w:ascii="PT Sans" w:hAnsi="PT Sans"/>
        </w:rPr>
      </w:pPr>
      <w:r w:rsidRPr="00AC5DBB">
        <w:rPr>
          <w:rStyle w:val="a8"/>
          <w:rFonts w:ascii="PT Sans" w:hAnsi="PT Sans"/>
        </w:rPr>
        <w:t>Сбалансированная шатунно-поршневая система </w:t>
      </w:r>
      <w:r w:rsidRPr="00AC5DBB">
        <w:rPr>
          <w:rFonts w:ascii="PT Sans" w:hAnsi="PT Sans"/>
        </w:rPr>
        <w:t>повышает удобство работы оператора и уменьшает вредное воздействие колебаний на агрегатированный трактор.</w:t>
      </w:r>
    </w:p>
    <w:p w14:paraId="37DC1B33" w14:textId="77777777" w:rsidR="00AC5DBB" w:rsidRPr="00AC5DBB" w:rsidRDefault="00AC5DBB" w:rsidP="00AC5DBB">
      <w:pPr>
        <w:pStyle w:val="a7"/>
        <w:jc w:val="both"/>
        <w:rPr>
          <w:rFonts w:ascii="PT Sans" w:hAnsi="PT Sans"/>
        </w:rPr>
      </w:pPr>
      <w:r w:rsidRPr="00AC5DBB">
        <w:rPr>
          <w:rStyle w:val="a8"/>
          <w:rFonts w:ascii="PT Sans" w:hAnsi="PT Sans"/>
        </w:rPr>
        <w:t xml:space="preserve">Гидравлический способ поднятия подборщика </w:t>
      </w:r>
      <w:r w:rsidRPr="00AC5DBB">
        <w:rPr>
          <w:rFonts w:ascii="PT Sans" w:hAnsi="PT Sans"/>
        </w:rPr>
        <w:t>повышает комфорт и безопасность работы.</w:t>
      </w:r>
    </w:p>
    <w:p w14:paraId="120C44D4" w14:textId="77777777" w:rsidR="00AC5DBB" w:rsidRPr="00AC5DBB" w:rsidRDefault="00AC5DBB" w:rsidP="00AC5DBB">
      <w:pPr>
        <w:pStyle w:val="a7"/>
        <w:jc w:val="both"/>
        <w:rPr>
          <w:rFonts w:ascii="PT Sans" w:hAnsi="PT Sans"/>
        </w:rPr>
      </w:pPr>
      <w:r w:rsidRPr="00AC5DBB">
        <w:rPr>
          <w:rStyle w:val="a8"/>
          <w:rFonts w:ascii="PT Sans" w:hAnsi="PT Sans"/>
        </w:rPr>
        <w:t>Примененные два вязальных аппарата</w:t>
      </w:r>
      <w:r w:rsidRPr="00AC5DBB">
        <w:rPr>
          <w:rFonts w:ascii="PT Sans" w:hAnsi="PT Sans"/>
        </w:rPr>
        <w:t> быстро и тщательно обвязывают формированные прессом тюки.</w:t>
      </w:r>
    </w:p>
    <w:p w14:paraId="7BB92F8F" w14:textId="77777777" w:rsidR="00AC5DBB" w:rsidRPr="00AC5DBB" w:rsidRDefault="00AC5DBB" w:rsidP="00AC5DBB">
      <w:pPr>
        <w:pStyle w:val="a7"/>
        <w:jc w:val="both"/>
        <w:rPr>
          <w:rFonts w:ascii="PT Sans" w:hAnsi="PT Sans"/>
        </w:rPr>
      </w:pPr>
      <w:r w:rsidRPr="00AC5DBB">
        <w:rPr>
          <w:rStyle w:val="a8"/>
          <w:rFonts w:ascii="PT Sans" w:hAnsi="PT Sans"/>
        </w:rPr>
        <w:t>Применение защиты машины </w:t>
      </w:r>
      <w:r w:rsidRPr="00AC5DBB">
        <w:rPr>
          <w:rFonts w:ascii="PT Sans" w:hAnsi="PT Sans"/>
        </w:rPr>
        <w:t xml:space="preserve">гарантирует длительную и безопасную работу. Фрикционная однонаправленная муфта на маховом колесе (900 Нм) предохраняет приводной вал. За маховым колесом дополнительно установлена главная автоматическая муфта, предохраняющая всю машину (шесть дисковых пружин). Срезанные винты предохраняют иглы и приспособления для связывания. Дополнительно </w:t>
      </w:r>
      <w:proofErr w:type="spellStart"/>
      <w:r w:rsidRPr="00AC5DBB">
        <w:rPr>
          <w:rFonts w:ascii="PT Sans" w:hAnsi="PT Sans"/>
        </w:rPr>
        <w:t>сгребатель</w:t>
      </w:r>
      <w:proofErr w:type="spellEnd"/>
      <w:r w:rsidRPr="00AC5DBB">
        <w:rPr>
          <w:rFonts w:ascii="PT Sans" w:hAnsi="PT Sans"/>
        </w:rPr>
        <w:t xml:space="preserve"> и подборщик оснащены перегрузочными муфтами.</w:t>
      </w:r>
    </w:p>
    <w:p w14:paraId="0A628A26" w14:textId="77777777" w:rsidR="00AC5DBB" w:rsidRPr="00AC5DBB" w:rsidRDefault="00AC5DBB" w:rsidP="00AC5DBB">
      <w:pPr>
        <w:pStyle w:val="a7"/>
        <w:jc w:val="both"/>
        <w:rPr>
          <w:rFonts w:ascii="PT Sans" w:hAnsi="PT Sans"/>
        </w:rPr>
      </w:pPr>
      <w:r w:rsidRPr="00AC5DBB">
        <w:rPr>
          <w:rStyle w:val="a8"/>
          <w:rFonts w:ascii="PT Sans" w:hAnsi="PT Sans"/>
        </w:rPr>
        <w:lastRenderedPageBreak/>
        <w:t>Электронный счетчик</w:t>
      </w:r>
      <w:r w:rsidRPr="00AC5DBB">
        <w:rPr>
          <w:rFonts w:ascii="PT Sans" w:hAnsi="PT Sans"/>
        </w:rPr>
        <w:t> (дополнительное оснащение) позволяет контролировать количество сделанных рулонов.</w:t>
      </w:r>
    </w:p>
    <w:p w14:paraId="015A7766" w14:textId="77777777" w:rsidR="00AC5DBB" w:rsidRPr="00AC5DBB" w:rsidRDefault="00AC5DBB" w:rsidP="00AC5DBB">
      <w:pPr>
        <w:pStyle w:val="a7"/>
        <w:jc w:val="both"/>
        <w:rPr>
          <w:rFonts w:ascii="PT Sans" w:hAnsi="PT Sans"/>
        </w:rPr>
      </w:pPr>
      <w:r w:rsidRPr="00AC5DBB">
        <w:rPr>
          <w:rStyle w:val="a8"/>
          <w:rFonts w:ascii="PT Sans" w:hAnsi="PT Sans"/>
        </w:rPr>
        <w:t>Электрооборудование </w:t>
      </w:r>
      <w:r w:rsidRPr="00AC5DBB">
        <w:rPr>
          <w:rFonts w:ascii="PT Sans" w:hAnsi="PT Sans"/>
        </w:rPr>
        <w:t>позволяет передвигаться по общественным дорогам без дополнительных расходов.</w:t>
      </w:r>
    </w:p>
    <w:p w14:paraId="06A34240" w14:textId="77777777" w:rsidR="00AC5DBB" w:rsidRPr="00AC5DBB" w:rsidRDefault="00AC5DBB" w:rsidP="00AC5DBB">
      <w:pPr>
        <w:pStyle w:val="a7"/>
        <w:jc w:val="both"/>
        <w:rPr>
          <w:rFonts w:ascii="PT Sans" w:hAnsi="PT Sans"/>
        </w:rPr>
      </w:pPr>
      <w:r w:rsidRPr="00AC5DBB">
        <w:rPr>
          <w:rStyle w:val="a8"/>
          <w:rFonts w:ascii="PT Sans" w:hAnsi="PT Sans"/>
        </w:rPr>
        <w:t>Спускной желоб для тюков </w:t>
      </w:r>
      <w:r w:rsidRPr="00AC5DBB">
        <w:rPr>
          <w:rFonts w:ascii="PT Sans" w:hAnsi="PT Sans"/>
        </w:rPr>
        <w:t>(дополнительное оснащение) обеспечивает транспортировку тюков непосредственно на прицеп, который следует за прессом, что значительно уменьшает трудозатраты и увеличивает производительность сбора. Применение спускного желоба дополнительно увеличивает степень сжатия.</w:t>
      </w:r>
    </w:p>
    <w:p w14:paraId="40313B96" w14:textId="77777777" w:rsidR="00AC5DBB" w:rsidRPr="00AC5DBB" w:rsidRDefault="00AC5DBB" w:rsidP="00AC5DBB">
      <w:pPr>
        <w:pStyle w:val="a7"/>
        <w:jc w:val="both"/>
        <w:rPr>
          <w:rFonts w:ascii="PT Sans" w:hAnsi="PT Sans"/>
        </w:rPr>
      </w:pPr>
      <w:r w:rsidRPr="00AC5DBB">
        <w:rPr>
          <w:rStyle w:val="a8"/>
          <w:rFonts w:ascii="PT Sans" w:hAnsi="PT Sans"/>
        </w:rPr>
        <w:t>Узловязатель для обвязки шнуром </w:t>
      </w:r>
      <w:r w:rsidRPr="00AC5DBB">
        <w:rPr>
          <w:rFonts w:ascii="PT Sans" w:hAnsi="PT Sans"/>
        </w:rPr>
        <w:t>(дополнительное оснащение) устанавливается по отдельному заказу.</w:t>
      </w:r>
    </w:p>
    <w:p w14:paraId="3BC7C084" w14:textId="6D93A963" w:rsidR="00AC5DBB" w:rsidRPr="00AC5DBB" w:rsidRDefault="00AC5DBB" w:rsidP="00AC5DBB">
      <w:pPr>
        <w:pStyle w:val="a7"/>
        <w:jc w:val="both"/>
        <w:rPr>
          <w:rFonts w:ascii="PT Sans" w:hAnsi="PT Sans"/>
        </w:rPr>
      </w:pPr>
      <w:r w:rsidRPr="00AC5DBB">
        <w:rPr>
          <w:rStyle w:val="a8"/>
          <w:rFonts w:ascii="PT Sans" w:hAnsi="PT Sans"/>
        </w:rPr>
        <w:t>Магазин для шнура</w:t>
      </w:r>
      <w:r w:rsidRPr="00AC5DBB">
        <w:rPr>
          <w:rFonts w:ascii="PT Sans" w:hAnsi="PT Sans"/>
        </w:rPr>
        <w:t xml:space="preserve">, в версии с узловязателем обеспечивает непрерывную </w:t>
      </w:r>
      <w:r w:rsidRPr="00AC5DBB">
        <w:rPr>
          <w:rFonts w:ascii="PT Sans" w:hAnsi="PT Sans"/>
        </w:rPr>
        <w:t>доставку шнура</w:t>
      </w:r>
      <w:r w:rsidRPr="00AC5DBB">
        <w:rPr>
          <w:rFonts w:ascii="PT Sans" w:hAnsi="PT Sans"/>
        </w:rPr>
        <w:t xml:space="preserve"> к приспособлению для обвязки. </w:t>
      </w:r>
    </w:p>
    <w:p w14:paraId="05988915" w14:textId="20B7951A" w:rsidR="00533271" w:rsidRPr="00AC5DBB" w:rsidRDefault="00533271" w:rsidP="00533271">
      <w:pPr>
        <w:widowControl/>
        <w:autoSpaceDE/>
        <w:autoSpaceDN/>
        <w:spacing w:before="100" w:beforeAutospacing="1" w:after="100" w:afterAutospacing="1"/>
        <w:jc w:val="center"/>
        <w:rPr>
          <w:rFonts w:ascii="PT Sans" w:hAnsi="PT Sans" w:cs="Arial"/>
          <w:b/>
          <w:bCs/>
          <w:color w:val="000000"/>
          <w:sz w:val="28"/>
          <w:szCs w:val="28"/>
          <w:lang w:val="ru-RU" w:eastAsia="ru-RU"/>
        </w:rPr>
      </w:pPr>
      <w:r w:rsidRPr="00AC5DBB">
        <w:rPr>
          <w:rFonts w:ascii="PT Sans" w:hAnsi="PT Sans" w:cs="Cambria"/>
          <w:b/>
          <w:bCs/>
          <w:color w:val="000000"/>
          <w:sz w:val="28"/>
          <w:szCs w:val="28"/>
          <w:lang w:val="ru-RU" w:eastAsia="ru-RU"/>
        </w:rPr>
        <w:t>Актуальная</w:t>
      </w:r>
      <w:r w:rsidRPr="00AC5DBB">
        <w:rPr>
          <w:rFonts w:ascii="PT Sans" w:hAnsi="PT Sans" w:cs="Arial"/>
          <w:b/>
          <w:bCs/>
          <w:color w:val="000000"/>
          <w:sz w:val="28"/>
          <w:szCs w:val="28"/>
          <w:lang w:val="ru-RU" w:eastAsia="ru-RU"/>
        </w:rPr>
        <w:t xml:space="preserve"> </w:t>
      </w:r>
      <w:r w:rsidRPr="00AC5DBB">
        <w:rPr>
          <w:rFonts w:ascii="PT Sans" w:hAnsi="PT Sans" w:cs="Cambria"/>
          <w:b/>
          <w:bCs/>
          <w:color w:val="000000"/>
          <w:sz w:val="28"/>
          <w:szCs w:val="28"/>
          <w:lang w:val="ru-RU" w:eastAsia="ru-RU"/>
        </w:rPr>
        <w:t>цена</w:t>
      </w:r>
      <w:r w:rsidRPr="00AC5DBB">
        <w:rPr>
          <w:rFonts w:ascii="PT Sans" w:hAnsi="PT Sans" w:cs="Arial"/>
          <w:b/>
          <w:bCs/>
          <w:color w:val="000000"/>
          <w:sz w:val="28"/>
          <w:szCs w:val="28"/>
          <w:lang w:val="ru-RU" w:eastAsia="ru-RU"/>
        </w:rPr>
        <w:t xml:space="preserve"> </w:t>
      </w:r>
      <w:r w:rsidRPr="00AC5DBB">
        <w:rPr>
          <w:rFonts w:ascii="PT Sans" w:hAnsi="PT Sans" w:cs="Cambria"/>
          <w:b/>
          <w:bCs/>
          <w:color w:val="000000"/>
          <w:sz w:val="28"/>
          <w:szCs w:val="28"/>
          <w:lang w:val="ru-RU" w:eastAsia="ru-RU"/>
        </w:rPr>
        <w:t>на</w:t>
      </w:r>
      <w:r w:rsidRPr="00AC5DBB">
        <w:rPr>
          <w:rFonts w:ascii="PT Sans" w:hAnsi="PT Sans" w:cs="Arial"/>
          <w:b/>
          <w:bCs/>
          <w:color w:val="000000"/>
          <w:sz w:val="28"/>
          <w:szCs w:val="28"/>
          <w:lang w:val="ru-RU" w:eastAsia="ru-RU"/>
        </w:rPr>
        <w:t xml:space="preserve"> сайте </w:t>
      </w:r>
      <w:proofErr w:type="spellStart"/>
      <w:proofErr w:type="gramStart"/>
      <w:r w:rsidR="0005249D" w:rsidRPr="00AC5DBB">
        <w:rPr>
          <w:rFonts w:ascii="PT Sans" w:hAnsi="PT Sans" w:cs="Arial"/>
          <w:b/>
          <w:bCs/>
          <w:color w:val="000000"/>
          <w:sz w:val="28"/>
          <w:szCs w:val="28"/>
          <w:lang w:val="ru-RU" w:eastAsia="ru-RU"/>
        </w:rPr>
        <w:t>центрпольскойтехники.рф</w:t>
      </w:r>
      <w:proofErr w:type="spellEnd"/>
      <w:proofErr w:type="gramEnd"/>
    </w:p>
    <w:p w14:paraId="13A8E565" w14:textId="133C1DA9" w:rsidR="00C55470" w:rsidRPr="00AC5DBB" w:rsidRDefault="00C55470">
      <w:pPr>
        <w:rPr>
          <w:rFonts w:ascii="PT Sans" w:hAnsi="PT Sans"/>
          <w:lang w:val="ru-RU"/>
        </w:rPr>
      </w:pPr>
    </w:p>
    <w:sectPr w:rsidR="00C55470" w:rsidRPr="00AC5DBB" w:rsidSect="005C4CF0">
      <w:headerReference w:type="default" r:id="rId8"/>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D36F" w14:textId="77777777" w:rsidR="00B03CB2" w:rsidRDefault="00B03CB2">
      <w:r>
        <w:separator/>
      </w:r>
    </w:p>
  </w:endnote>
  <w:endnote w:type="continuationSeparator" w:id="0">
    <w:p w14:paraId="61536D47" w14:textId="77777777" w:rsidR="00B03CB2" w:rsidRDefault="00B0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ans">
    <w:panose1 w:val="020B0503020203020204"/>
    <w:charset w:val="CC"/>
    <w:family w:val="swiss"/>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FC0F6" w14:textId="77777777" w:rsidR="00B03CB2" w:rsidRDefault="00B03CB2">
      <w:r>
        <w:separator/>
      </w:r>
    </w:p>
  </w:footnote>
  <w:footnote w:type="continuationSeparator" w:id="0">
    <w:p w14:paraId="245F6ABB" w14:textId="77777777" w:rsidR="00B03CB2" w:rsidRDefault="00B03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B01D" w14:textId="77777777" w:rsidR="00BD4A52" w:rsidRDefault="00000000" w:rsidP="00BA0042">
    <w:pPr>
      <w:pStyle w:val="a4"/>
      <w:tabs>
        <w:tab w:val="clear" w:pos="4677"/>
        <w:tab w:val="clear" w:pos="9355"/>
        <w:tab w:val="left" w:pos="4661"/>
      </w:tabs>
    </w:pPr>
    <w:r>
      <w:rPr>
        <w:noProof/>
      </w:rPr>
      <w:drawing>
        <wp:anchor distT="0" distB="0" distL="114300" distR="0" simplePos="0" relativeHeight="251659264" behindDoc="1" locked="0" layoutInCell="1" allowOverlap="1" wp14:anchorId="1B0547F8" wp14:editId="34A6C2CC">
          <wp:simplePos x="0" y="0"/>
          <wp:positionH relativeFrom="page">
            <wp:posOffset>-314325</wp:posOffset>
          </wp:positionH>
          <wp:positionV relativeFrom="paragraph">
            <wp:posOffset>-390525</wp:posOffset>
          </wp:positionV>
          <wp:extent cx="7914005" cy="876300"/>
          <wp:effectExtent l="0" t="0" r="0" b="0"/>
          <wp:wrapTight wrapText="bothSides">
            <wp:wrapPolygon edited="0">
              <wp:start x="0" y="0"/>
              <wp:lineTo x="0" y="21130"/>
              <wp:lineTo x="21525" y="21130"/>
              <wp:lineTo x="21525"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853"/>
    <w:multiLevelType w:val="hybridMultilevel"/>
    <w:tmpl w:val="1C2286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E5142"/>
    <w:multiLevelType w:val="hybridMultilevel"/>
    <w:tmpl w:val="C4BCD3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9495F56"/>
    <w:multiLevelType w:val="multilevel"/>
    <w:tmpl w:val="60E8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C59E9"/>
    <w:multiLevelType w:val="multilevel"/>
    <w:tmpl w:val="18F4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921E0"/>
    <w:multiLevelType w:val="multilevel"/>
    <w:tmpl w:val="8314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A7B65"/>
    <w:multiLevelType w:val="multilevel"/>
    <w:tmpl w:val="471C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516D5"/>
    <w:multiLevelType w:val="multilevel"/>
    <w:tmpl w:val="37E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8720B"/>
    <w:multiLevelType w:val="multilevel"/>
    <w:tmpl w:val="BC3A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0213A"/>
    <w:multiLevelType w:val="multilevel"/>
    <w:tmpl w:val="EB8E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928F8"/>
    <w:multiLevelType w:val="multilevel"/>
    <w:tmpl w:val="E30E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F1217"/>
    <w:multiLevelType w:val="multilevel"/>
    <w:tmpl w:val="4C44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30386"/>
    <w:multiLevelType w:val="multilevel"/>
    <w:tmpl w:val="A954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16519"/>
    <w:multiLevelType w:val="multilevel"/>
    <w:tmpl w:val="5862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D3532"/>
    <w:multiLevelType w:val="multilevel"/>
    <w:tmpl w:val="F56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B41D0"/>
    <w:multiLevelType w:val="multilevel"/>
    <w:tmpl w:val="02CE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C7EA3"/>
    <w:multiLevelType w:val="multilevel"/>
    <w:tmpl w:val="1B6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192674"/>
    <w:multiLevelType w:val="hybridMultilevel"/>
    <w:tmpl w:val="C8364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29235E"/>
    <w:multiLevelType w:val="multilevel"/>
    <w:tmpl w:val="F964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C731E4"/>
    <w:multiLevelType w:val="multilevel"/>
    <w:tmpl w:val="80E6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A16BA"/>
    <w:multiLevelType w:val="multilevel"/>
    <w:tmpl w:val="2A16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9D0B4C"/>
    <w:multiLevelType w:val="multilevel"/>
    <w:tmpl w:val="2C58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E6382"/>
    <w:multiLevelType w:val="multilevel"/>
    <w:tmpl w:val="6018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2203D"/>
    <w:multiLevelType w:val="multilevel"/>
    <w:tmpl w:val="F6CA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ED3340"/>
    <w:multiLevelType w:val="hybridMultilevel"/>
    <w:tmpl w:val="D7D24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5C0FF0"/>
    <w:multiLevelType w:val="multilevel"/>
    <w:tmpl w:val="3718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2A3D47"/>
    <w:multiLevelType w:val="multilevel"/>
    <w:tmpl w:val="291C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6B2480"/>
    <w:multiLevelType w:val="multilevel"/>
    <w:tmpl w:val="1508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3E5AAE"/>
    <w:multiLevelType w:val="multilevel"/>
    <w:tmpl w:val="3DD8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7E44A6"/>
    <w:multiLevelType w:val="hybridMultilevel"/>
    <w:tmpl w:val="0ECAD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5432BC"/>
    <w:multiLevelType w:val="hybridMultilevel"/>
    <w:tmpl w:val="491AF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89425493">
    <w:abstractNumId w:val="28"/>
  </w:num>
  <w:num w:numId="2" w16cid:durableId="1540048223">
    <w:abstractNumId w:val="16"/>
  </w:num>
  <w:num w:numId="3" w16cid:durableId="247688852">
    <w:abstractNumId w:val="23"/>
  </w:num>
  <w:num w:numId="4" w16cid:durableId="62872883">
    <w:abstractNumId w:val="12"/>
  </w:num>
  <w:num w:numId="5" w16cid:durableId="875386741">
    <w:abstractNumId w:val="27"/>
  </w:num>
  <w:num w:numId="6" w16cid:durableId="1842114871">
    <w:abstractNumId w:val="25"/>
  </w:num>
  <w:num w:numId="7" w16cid:durableId="2003241006">
    <w:abstractNumId w:val="29"/>
  </w:num>
  <w:num w:numId="8" w16cid:durableId="1314406589">
    <w:abstractNumId w:val="18"/>
  </w:num>
  <w:num w:numId="9" w16cid:durableId="1494176807">
    <w:abstractNumId w:val="0"/>
  </w:num>
  <w:num w:numId="10" w16cid:durableId="909460312">
    <w:abstractNumId w:val="24"/>
  </w:num>
  <w:num w:numId="11" w16cid:durableId="1472749852">
    <w:abstractNumId w:val="13"/>
  </w:num>
  <w:num w:numId="12" w16cid:durableId="716322105">
    <w:abstractNumId w:val="2"/>
  </w:num>
  <w:num w:numId="13" w16cid:durableId="882061542">
    <w:abstractNumId w:val="26"/>
  </w:num>
  <w:num w:numId="14" w16cid:durableId="614940896">
    <w:abstractNumId w:val="21"/>
  </w:num>
  <w:num w:numId="15" w16cid:durableId="531186750">
    <w:abstractNumId w:val="19"/>
  </w:num>
  <w:num w:numId="16" w16cid:durableId="808135810">
    <w:abstractNumId w:val="7"/>
  </w:num>
  <w:num w:numId="17" w16cid:durableId="618756474">
    <w:abstractNumId w:val="6"/>
  </w:num>
  <w:num w:numId="18" w16cid:durableId="1149637198">
    <w:abstractNumId w:val="11"/>
  </w:num>
  <w:num w:numId="19" w16cid:durableId="1707482302">
    <w:abstractNumId w:val="17"/>
  </w:num>
  <w:num w:numId="20" w16cid:durableId="1498764198">
    <w:abstractNumId w:val="14"/>
  </w:num>
  <w:num w:numId="21" w16cid:durableId="1596403030">
    <w:abstractNumId w:val="15"/>
  </w:num>
  <w:num w:numId="22" w16cid:durableId="1781101961">
    <w:abstractNumId w:val="4"/>
  </w:num>
  <w:num w:numId="23" w16cid:durableId="1370061691">
    <w:abstractNumId w:val="9"/>
  </w:num>
  <w:num w:numId="24" w16cid:durableId="1892231156">
    <w:abstractNumId w:val="5"/>
  </w:num>
  <w:num w:numId="25" w16cid:durableId="797845469">
    <w:abstractNumId w:val="1"/>
  </w:num>
  <w:num w:numId="26" w16cid:durableId="1357341404">
    <w:abstractNumId w:val="22"/>
  </w:num>
  <w:num w:numId="27" w16cid:durableId="1714188710">
    <w:abstractNumId w:val="20"/>
  </w:num>
  <w:num w:numId="28" w16cid:durableId="736246225">
    <w:abstractNumId w:val="8"/>
  </w:num>
  <w:num w:numId="29" w16cid:durableId="1323661928">
    <w:abstractNumId w:val="3"/>
  </w:num>
  <w:num w:numId="30" w16cid:durableId="685134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F0"/>
    <w:rsid w:val="0005249D"/>
    <w:rsid w:val="00055CB6"/>
    <w:rsid w:val="00200010"/>
    <w:rsid w:val="002D2C85"/>
    <w:rsid w:val="00434F7D"/>
    <w:rsid w:val="004418F3"/>
    <w:rsid w:val="00533271"/>
    <w:rsid w:val="00551CF2"/>
    <w:rsid w:val="005B78B5"/>
    <w:rsid w:val="005C4CF0"/>
    <w:rsid w:val="006A34B3"/>
    <w:rsid w:val="00A81284"/>
    <w:rsid w:val="00AC5DBB"/>
    <w:rsid w:val="00B03CB2"/>
    <w:rsid w:val="00B63A52"/>
    <w:rsid w:val="00C55470"/>
    <w:rsid w:val="00CB6207"/>
    <w:rsid w:val="00E03F8B"/>
    <w:rsid w:val="00F504A6"/>
    <w:rsid w:val="00FE2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CE4C"/>
  <w15:chartTrackingRefBased/>
  <w15:docId w15:val="{E90041D1-373F-4165-B131-730A19D2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C4CF0"/>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C4CF0"/>
  </w:style>
  <w:style w:type="paragraph" w:styleId="a4">
    <w:name w:val="header"/>
    <w:basedOn w:val="a"/>
    <w:link w:val="a5"/>
    <w:uiPriority w:val="99"/>
    <w:unhideWhenUsed/>
    <w:rsid w:val="005C4CF0"/>
    <w:pPr>
      <w:tabs>
        <w:tab w:val="center" w:pos="4677"/>
        <w:tab w:val="right" w:pos="9355"/>
      </w:tabs>
    </w:pPr>
  </w:style>
  <w:style w:type="character" w:customStyle="1" w:styleId="a5">
    <w:name w:val="Верхний колонтитул Знак"/>
    <w:basedOn w:val="a0"/>
    <w:link w:val="a4"/>
    <w:uiPriority w:val="99"/>
    <w:rsid w:val="005C4CF0"/>
    <w:rPr>
      <w:rFonts w:ascii="Times New Roman" w:eastAsia="Times New Roman" w:hAnsi="Times New Roman" w:cs="Times New Roman"/>
      <w:lang w:val="en-US"/>
    </w:rPr>
  </w:style>
  <w:style w:type="table" w:styleId="a6">
    <w:name w:val="Table Grid"/>
    <w:basedOn w:val="a1"/>
    <w:uiPriority w:val="39"/>
    <w:rsid w:val="005C4C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5C4CF0"/>
    <w:pPr>
      <w:widowControl/>
      <w:autoSpaceDE/>
      <w:autoSpaceDN/>
      <w:spacing w:before="100" w:beforeAutospacing="1" w:after="100" w:afterAutospacing="1"/>
    </w:pPr>
    <w:rPr>
      <w:sz w:val="24"/>
      <w:szCs w:val="24"/>
      <w:lang w:val="ru-RU" w:eastAsia="ru-RU"/>
    </w:rPr>
  </w:style>
  <w:style w:type="character" w:styleId="a8">
    <w:name w:val="Strong"/>
    <w:basedOn w:val="a0"/>
    <w:uiPriority w:val="22"/>
    <w:qFormat/>
    <w:rsid w:val="005C4CF0"/>
    <w:rPr>
      <w:b/>
      <w:bCs/>
    </w:rPr>
  </w:style>
  <w:style w:type="table" w:customStyle="1" w:styleId="TableNormal">
    <w:name w:val="Table Normal"/>
    <w:uiPriority w:val="2"/>
    <w:semiHidden/>
    <w:unhideWhenUsed/>
    <w:qFormat/>
    <w:rsid w:val="00551C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51CF2"/>
    <w:rPr>
      <w:lang w:val="ru-RU" w:eastAsia="ru-RU" w:bidi="ru-RU"/>
    </w:rPr>
  </w:style>
  <w:style w:type="paragraph" w:styleId="a9">
    <w:name w:val="Title"/>
    <w:basedOn w:val="a"/>
    <w:next w:val="a"/>
    <w:link w:val="aa"/>
    <w:qFormat/>
    <w:rsid w:val="00533271"/>
    <w:pPr>
      <w:contextualSpacing/>
    </w:pPr>
    <w:rPr>
      <w:rFonts w:asciiTheme="majorHAnsi" w:eastAsiaTheme="majorEastAsia" w:hAnsiTheme="majorHAnsi" w:cstheme="majorBidi"/>
      <w:spacing w:val="-10"/>
      <w:kern w:val="28"/>
      <w:sz w:val="56"/>
      <w:szCs w:val="56"/>
      <w:lang w:val="ca-ES" w:eastAsia="ca-ES" w:bidi="ca-ES"/>
    </w:rPr>
  </w:style>
  <w:style w:type="character" w:customStyle="1" w:styleId="aa">
    <w:name w:val="Заголовок Знак"/>
    <w:basedOn w:val="a0"/>
    <w:link w:val="a9"/>
    <w:rsid w:val="00533271"/>
    <w:rPr>
      <w:rFonts w:asciiTheme="majorHAnsi" w:eastAsiaTheme="majorEastAsia" w:hAnsiTheme="majorHAnsi" w:cstheme="majorBidi"/>
      <w:spacing w:val="-10"/>
      <w:kern w:val="28"/>
      <w:sz w:val="56"/>
      <w:szCs w:val="56"/>
      <w:lang w:val="ca-ES" w:eastAsia="ca-ES" w:bidi="ca-ES"/>
    </w:rPr>
  </w:style>
  <w:style w:type="paragraph" w:customStyle="1" w:styleId="1">
    <w:name w:val="Заголовок1"/>
    <w:basedOn w:val="a"/>
    <w:next w:val="a"/>
    <w:uiPriority w:val="10"/>
    <w:qFormat/>
    <w:rsid w:val="00533271"/>
    <w:pPr>
      <w:widowControl/>
      <w:autoSpaceDE/>
      <w:autoSpaceDN/>
      <w:contextualSpacing/>
    </w:pPr>
    <w:rPr>
      <w:rFonts w:ascii="Calibri Light" w:hAnsi="Calibri Light"/>
      <w:spacing w:val="-10"/>
      <w:kern w:val="28"/>
      <w:sz w:val="56"/>
      <w:szCs w:val="56"/>
      <w:lang w:val="ru-RU" w:eastAsia="ru-RU"/>
    </w:rPr>
  </w:style>
  <w:style w:type="paragraph" w:customStyle="1" w:styleId="ab">
    <w:name w:val="Наименование"/>
    <w:basedOn w:val="a"/>
    <w:rsid w:val="00533271"/>
    <w:pPr>
      <w:widowControl/>
      <w:autoSpaceDE/>
      <w:autoSpaceDN/>
    </w:pPr>
    <w:rPr>
      <w:b/>
      <w:bCs/>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80144">
      <w:bodyDiv w:val="1"/>
      <w:marLeft w:val="0"/>
      <w:marRight w:val="0"/>
      <w:marTop w:val="0"/>
      <w:marBottom w:val="0"/>
      <w:divBdr>
        <w:top w:val="none" w:sz="0" w:space="0" w:color="auto"/>
        <w:left w:val="none" w:sz="0" w:space="0" w:color="auto"/>
        <w:bottom w:val="none" w:sz="0" w:space="0" w:color="auto"/>
        <w:right w:val="none" w:sz="0" w:space="0" w:color="auto"/>
      </w:divBdr>
    </w:div>
    <w:div w:id="757562369">
      <w:bodyDiv w:val="1"/>
      <w:marLeft w:val="0"/>
      <w:marRight w:val="0"/>
      <w:marTop w:val="0"/>
      <w:marBottom w:val="0"/>
      <w:divBdr>
        <w:top w:val="none" w:sz="0" w:space="0" w:color="auto"/>
        <w:left w:val="none" w:sz="0" w:space="0" w:color="auto"/>
        <w:bottom w:val="none" w:sz="0" w:space="0" w:color="auto"/>
        <w:right w:val="none" w:sz="0" w:space="0" w:color="auto"/>
      </w:divBdr>
    </w:div>
    <w:div w:id="982386610">
      <w:bodyDiv w:val="1"/>
      <w:marLeft w:val="0"/>
      <w:marRight w:val="0"/>
      <w:marTop w:val="0"/>
      <w:marBottom w:val="0"/>
      <w:divBdr>
        <w:top w:val="none" w:sz="0" w:space="0" w:color="auto"/>
        <w:left w:val="none" w:sz="0" w:space="0" w:color="auto"/>
        <w:bottom w:val="none" w:sz="0" w:space="0" w:color="auto"/>
        <w:right w:val="none" w:sz="0" w:space="0" w:color="auto"/>
      </w:divBdr>
    </w:div>
    <w:div w:id="1004481278">
      <w:bodyDiv w:val="1"/>
      <w:marLeft w:val="0"/>
      <w:marRight w:val="0"/>
      <w:marTop w:val="0"/>
      <w:marBottom w:val="0"/>
      <w:divBdr>
        <w:top w:val="none" w:sz="0" w:space="0" w:color="auto"/>
        <w:left w:val="none" w:sz="0" w:space="0" w:color="auto"/>
        <w:bottom w:val="none" w:sz="0" w:space="0" w:color="auto"/>
        <w:right w:val="none" w:sz="0" w:space="0" w:color="auto"/>
      </w:divBdr>
      <w:divsChild>
        <w:div w:id="152649003">
          <w:marLeft w:val="0"/>
          <w:marRight w:val="0"/>
          <w:marTop w:val="0"/>
          <w:marBottom w:val="0"/>
          <w:divBdr>
            <w:top w:val="none" w:sz="0" w:space="0" w:color="auto"/>
            <w:left w:val="none" w:sz="0" w:space="0" w:color="auto"/>
            <w:bottom w:val="none" w:sz="0" w:space="0" w:color="auto"/>
            <w:right w:val="none" w:sz="0" w:space="0" w:color="auto"/>
          </w:divBdr>
        </w:div>
      </w:divsChild>
    </w:div>
    <w:div w:id="1896044492">
      <w:bodyDiv w:val="1"/>
      <w:marLeft w:val="0"/>
      <w:marRight w:val="0"/>
      <w:marTop w:val="0"/>
      <w:marBottom w:val="0"/>
      <w:divBdr>
        <w:top w:val="none" w:sz="0" w:space="0" w:color="auto"/>
        <w:left w:val="none" w:sz="0" w:space="0" w:color="auto"/>
        <w:bottom w:val="none" w:sz="0" w:space="0" w:color="auto"/>
        <w:right w:val="none" w:sz="0" w:space="0" w:color="auto"/>
      </w:divBdr>
      <w:divsChild>
        <w:div w:id="1540168979">
          <w:marLeft w:val="-600"/>
          <w:marRight w:val="0"/>
          <w:marTop w:val="0"/>
          <w:marBottom w:val="0"/>
          <w:divBdr>
            <w:top w:val="none" w:sz="0" w:space="0" w:color="auto"/>
            <w:left w:val="none" w:sz="0" w:space="0" w:color="auto"/>
            <w:bottom w:val="none" w:sz="0" w:space="0" w:color="auto"/>
            <w:right w:val="none" w:sz="0" w:space="0" w:color="auto"/>
          </w:divBdr>
          <w:divsChild>
            <w:div w:id="568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pr@agrocpt.ru</dc:creator>
  <cp:keywords/>
  <dc:description/>
  <cp:lastModifiedBy>pr@agrocpt.ru</cp:lastModifiedBy>
  <cp:revision>2</cp:revision>
  <dcterms:created xsi:type="dcterms:W3CDTF">2022-10-10T11:51:00Z</dcterms:created>
  <dcterms:modified xsi:type="dcterms:W3CDTF">2022-10-10T11:51:00Z</dcterms:modified>
</cp:coreProperties>
</file>