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115B" w14:textId="5BBC7D71" w:rsidR="00952B82" w:rsidRPr="002D04A9" w:rsidRDefault="00952B82" w:rsidP="004D6F22">
      <w:pPr>
        <w:rPr>
          <w:rFonts w:ascii="PT Sans" w:hAnsi="PT Sans"/>
          <w:kern w:val="28"/>
          <w:sz w:val="24"/>
          <w:szCs w:val="24"/>
          <w:lang w:val="ru-RU" w:eastAsia="x-none"/>
        </w:rPr>
      </w:pPr>
    </w:p>
    <w:p w14:paraId="27A8466E" w14:textId="1AF5D9F4" w:rsidR="00E44F51" w:rsidRPr="00E05CAA" w:rsidRDefault="002D04A9" w:rsidP="002D04A9">
      <w:pPr>
        <w:shd w:val="clear" w:color="auto" w:fill="FFFFFF"/>
        <w:spacing w:after="210" w:line="300" w:lineRule="atLeast"/>
        <w:jc w:val="center"/>
        <w:outlineLvl w:val="0"/>
        <w:rPr>
          <w:rFonts w:ascii="PT Sans" w:hAnsi="PT Sans" w:cs="Tahoma"/>
          <w:b/>
          <w:bCs/>
          <w:noProof/>
          <w:color w:val="000000"/>
          <w:kern w:val="36"/>
          <w:sz w:val="28"/>
          <w:szCs w:val="28"/>
          <w:lang w:val="ru-RU"/>
        </w:rPr>
      </w:pPr>
      <w:r w:rsidRPr="00E05CAA">
        <w:rPr>
          <w:rFonts w:ascii="PT Sans" w:hAnsi="PT Sans" w:cs="Tahoma"/>
          <w:b/>
          <w:bCs/>
          <w:color w:val="000000"/>
          <w:kern w:val="36"/>
          <w:sz w:val="28"/>
          <w:szCs w:val="28"/>
          <w:lang w:val="ru-RU"/>
        </w:rPr>
        <w:t>Прицеп PRONAR T743</w:t>
      </w:r>
    </w:p>
    <w:p w14:paraId="64B72E9E" w14:textId="27A81362" w:rsidR="002D04A9" w:rsidRPr="002D04A9" w:rsidRDefault="002D04A9" w:rsidP="002D04A9">
      <w:pPr>
        <w:shd w:val="clear" w:color="auto" w:fill="FFFFFF"/>
        <w:spacing w:after="210" w:line="300" w:lineRule="atLeast"/>
        <w:jc w:val="center"/>
        <w:outlineLvl w:val="0"/>
        <w:rPr>
          <w:rFonts w:ascii="PT Sans" w:hAnsi="PT Sans" w:cs="Tahoma"/>
          <w:noProof/>
          <w:color w:val="000000"/>
          <w:kern w:val="36"/>
          <w:sz w:val="24"/>
          <w:szCs w:val="24"/>
          <w:lang w:val="ru-RU"/>
        </w:rPr>
      </w:pPr>
    </w:p>
    <w:p w14:paraId="75FC5517" w14:textId="0B2DC807" w:rsidR="002D04A9" w:rsidRPr="002D04A9" w:rsidRDefault="002D04A9" w:rsidP="002D04A9">
      <w:pPr>
        <w:shd w:val="clear" w:color="auto" w:fill="FFFFFF"/>
        <w:spacing w:after="210" w:line="300" w:lineRule="atLeast"/>
        <w:jc w:val="center"/>
        <w:outlineLvl w:val="0"/>
        <w:rPr>
          <w:rFonts w:ascii="PT Sans" w:hAnsi="PT Sans" w:cs="Tahoma"/>
          <w:color w:val="000000"/>
          <w:kern w:val="36"/>
          <w:sz w:val="24"/>
          <w:szCs w:val="24"/>
          <w:lang w:val="ru-RU"/>
        </w:rPr>
      </w:pPr>
      <w:r w:rsidRPr="002D04A9">
        <w:rPr>
          <w:rFonts w:ascii="PT Sans" w:hAnsi="PT Sans" w:cs="Tahoma"/>
          <w:noProof/>
          <w:color w:val="000000"/>
          <w:kern w:val="36"/>
          <w:sz w:val="24"/>
          <w:szCs w:val="24"/>
          <w:lang w:val="ru-RU"/>
        </w:rPr>
        <w:drawing>
          <wp:inline distT="0" distB="0" distL="0" distR="0" wp14:anchorId="5E3FCA07" wp14:editId="693757BC">
            <wp:extent cx="5934075" cy="3943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2AEB" w14:textId="77777777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Производительный, экономический и сильный сохранит время и деньги. Необходимый в фермах специализирующихся не только в производстве зерновых культур.</w:t>
      </w:r>
    </w:p>
    <w:p w14:paraId="7AD36171" w14:textId="0C737E9A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Бункер-</w:t>
      </w:r>
      <w:proofErr w:type="spellStart"/>
      <w:r w:rsidRPr="002D04A9">
        <w:rPr>
          <w:rFonts w:ascii="PT Sans" w:hAnsi="PT Sans"/>
          <w:sz w:val="24"/>
          <w:szCs w:val="24"/>
          <w:lang w:val="ru-RU" w:eastAsia="ru-RU"/>
        </w:rPr>
        <w:t>перегрузчик</w:t>
      </w:r>
      <w:proofErr w:type="spellEnd"/>
      <w:r w:rsidRPr="002D04A9">
        <w:rPr>
          <w:rFonts w:ascii="PT Sans" w:hAnsi="PT Sans"/>
          <w:sz w:val="24"/>
          <w:szCs w:val="24"/>
          <w:lang w:val="ru-RU" w:eastAsia="ru-RU"/>
        </w:rPr>
        <w:t xml:space="preserve"> PRONARТ743 это универсальная машина, использующаяся при транспорте зерновых культур и кукурузы, получение грузов от комбайнов и перегрузки в грузовики, а также загрузки </w:t>
      </w:r>
      <w:proofErr w:type="spellStart"/>
      <w:r w:rsidRPr="002D04A9">
        <w:rPr>
          <w:rFonts w:ascii="PT Sans" w:hAnsi="PT Sans"/>
          <w:sz w:val="24"/>
          <w:szCs w:val="24"/>
          <w:lang w:val="ru-RU" w:eastAsia="ru-RU"/>
        </w:rPr>
        <w:t>сеячного</w:t>
      </w:r>
      <w:proofErr w:type="spellEnd"/>
      <w:r w:rsidRPr="002D04A9">
        <w:rPr>
          <w:rFonts w:ascii="PT Sans" w:hAnsi="PT Sans"/>
          <w:sz w:val="24"/>
          <w:szCs w:val="24"/>
          <w:lang w:val="ru-RU" w:eastAsia="ru-RU"/>
        </w:rPr>
        <w:t xml:space="preserve"> материала в сеялки. Может быть использован там, г</w:t>
      </w:r>
      <w:r w:rsidR="00E05CAA">
        <w:rPr>
          <w:rFonts w:ascii="PT Sans" w:hAnsi="PT Sans"/>
          <w:sz w:val="24"/>
          <w:szCs w:val="24"/>
          <w:lang w:val="ru-RU" w:eastAsia="ru-RU"/>
        </w:rPr>
        <w:t>де</w:t>
      </w:r>
      <w:r w:rsidRPr="002D04A9">
        <w:rPr>
          <w:rFonts w:ascii="PT Sans" w:hAnsi="PT Sans"/>
          <w:sz w:val="24"/>
          <w:szCs w:val="24"/>
          <w:lang w:val="ru-RU" w:eastAsia="ru-RU"/>
        </w:rPr>
        <w:t xml:space="preserve"> транспорт не сможет въехать на поле, а комбайны должны переезжать большие расстояния, чтобы опорожнить свой бак. Разрешает ограничивать затраты </w:t>
      </w:r>
      <w:r w:rsidRPr="002D04A9">
        <w:rPr>
          <w:rFonts w:ascii="PT Sans" w:hAnsi="PT Sans"/>
          <w:sz w:val="24"/>
          <w:szCs w:val="24"/>
          <w:lang w:val="ru-RU" w:eastAsia="ru-RU"/>
        </w:rPr>
        <w:t>связанных</w:t>
      </w:r>
      <w:r w:rsidRPr="002D04A9">
        <w:rPr>
          <w:rFonts w:ascii="PT Sans" w:hAnsi="PT Sans"/>
          <w:sz w:val="24"/>
          <w:szCs w:val="24"/>
          <w:lang w:val="ru-RU" w:eastAsia="ru-RU"/>
        </w:rPr>
        <w:t xml:space="preserve"> с простоями комбайнов во время уборки, Электрическая весовая система позволяет на учёт перегру</w:t>
      </w:r>
      <w:r>
        <w:rPr>
          <w:rFonts w:ascii="PT Sans" w:hAnsi="PT Sans"/>
          <w:sz w:val="24"/>
          <w:szCs w:val="24"/>
          <w:lang w:val="ru-RU" w:eastAsia="ru-RU"/>
        </w:rPr>
        <w:t>ж</w:t>
      </w:r>
      <w:r w:rsidRPr="002D04A9">
        <w:rPr>
          <w:rFonts w:ascii="PT Sans" w:hAnsi="PT Sans"/>
          <w:sz w:val="24"/>
          <w:szCs w:val="24"/>
          <w:lang w:val="ru-RU" w:eastAsia="ru-RU"/>
        </w:rPr>
        <w:t xml:space="preserve">енного товара. Шасси Т743 основано на подвеске </w:t>
      </w:r>
      <w:proofErr w:type="spellStart"/>
      <w:r w:rsidRPr="002D04A9">
        <w:rPr>
          <w:rFonts w:ascii="PT Sans" w:hAnsi="PT Sans"/>
          <w:sz w:val="24"/>
          <w:szCs w:val="24"/>
          <w:lang w:val="ru-RU" w:eastAsia="ru-RU"/>
        </w:rPr>
        <w:t>тридем</w:t>
      </w:r>
      <w:proofErr w:type="spellEnd"/>
      <w:r w:rsidRPr="002D04A9">
        <w:rPr>
          <w:rFonts w:ascii="PT Sans" w:hAnsi="PT Sans"/>
          <w:sz w:val="24"/>
          <w:szCs w:val="24"/>
          <w:lang w:val="ru-RU" w:eastAsia="ru-RU"/>
        </w:rPr>
        <w:t xml:space="preserve"> на </w:t>
      </w:r>
      <w:proofErr w:type="spellStart"/>
      <w:r w:rsidRPr="002D04A9">
        <w:rPr>
          <w:rFonts w:ascii="PT Sans" w:hAnsi="PT Sans"/>
          <w:sz w:val="24"/>
          <w:szCs w:val="24"/>
          <w:lang w:val="ru-RU" w:eastAsia="ru-RU"/>
        </w:rPr>
        <w:t>параболлических</w:t>
      </w:r>
      <w:proofErr w:type="spellEnd"/>
      <w:r w:rsidRPr="002D04A9">
        <w:rPr>
          <w:rFonts w:ascii="PT Sans" w:hAnsi="PT Sans"/>
          <w:sz w:val="24"/>
          <w:szCs w:val="24"/>
          <w:lang w:val="ru-RU" w:eastAsia="ru-RU"/>
        </w:rPr>
        <w:t xml:space="preserve"> рессорах с оси на 1810 мм, средней жёсткой осью двумя поворотными.</w:t>
      </w:r>
    </w:p>
    <w:p w14:paraId="1A4E37CB" w14:textId="77777777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ПРОИЗВОДИТЕЛЬНОСТЬ - Общее время разгрузки 3-6 минут, производительность перегрузки 200-400 т/ч</w:t>
      </w:r>
    </w:p>
    <w:p w14:paraId="45BF3772" w14:textId="77777777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ЭКОНОМИЧНОСТЬ - Позволяет сэкономить до 30% времени работающих комбайнов</w:t>
      </w:r>
    </w:p>
    <w:p w14:paraId="53BEDBF1" w14:textId="33EBE450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lastRenderedPageBreak/>
        <w:t xml:space="preserve">УНИВЕРСАЛЬНОСТЬ - Приспособлен к загрузке, перевозке, перегрузке </w:t>
      </w:r>
      <w:r w:rsidRPr="002D04A9">
        <w:rPr>
          <w:rFonts w:ascii="PT Sans" w:hAnsi="PT Sans"/>
          <w:sz w:val="24"/>
          <w:szCs w:val="24"/>
          <w:lang w:val="ru-RU" w:eastAsia="ru-RU"/>
        </w:rPr>
        <w:t>зерновых</w:t>
      </w:r>
      <w:r w:rsidRPr="002D04A9">
        <w:rPr>
          <w:rFonts w:ascii="PT Sans" w:hAnsi="PT Sans"/>
          <w:sz w:val="24"/>
          <w:szCs w:val="24"/>
          <w:lang w:val="ru-RU" w:eastAsia="ru-RU"/>
        </w:rPr>
        <w:t xml:space="preserve"> культур и кукурузы</w:t>
      </w:r>
    </w:p>
    <w:p w14:paraId="5C0889FC" w14:textId="3DE09C5B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 xml:space="preserve">БОГАТО ОБОРУДОВАН - Оборудован простым к </w:t>
      </w:r>
      <w:r w:rsidRPr="002D04A9">
        <w:rPr>
          <w:rFonts w:ascii="PT Sans" w:hAnsi="PT Sans"/>
          <w:sz w:val="24"/>
          <w:szCs w:val="24"/>
          <w:lang w:val="ru-RU" w:eastAsia="ru-RU"/>
        </w:rPr>
        <w:t>использованию</w:t>
      </w:r>
      <w:r w:rsidRPr="002D04A9">
        <w:rPr>
          <w:rFonts w:ascii="PT Sans" w:hAnsi="PT Sans"/>
          <w:sz w:val="24"/>
          <w:szCs w:val="24"/>
          <w:lang w:val="ru-RU" w:eastAsia="ru-RU"/>
        </w:rPr>
        <w:t xml:space="preserve"> тентом, весовой системой, насадкой для загрузки сеялок</w:t>
      </w:r>
    </w:p>
    <w:p w14:paraId="4EA275CB" w14:textId="77777777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ПРОЧНОСТЬ КОНСТРУКЦИИ И ВЫСОКОЕ КАЧЕСТВО - Обеспечивает долгое использование</w:t>
      </w:r>
    </w:p>
    <w:tbl>
      <w:tblPr>
        <w:tblW w:w="8882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434"/>
      </w:tblGrid>
      <w:tr w:rsidR="002D04A9" w:rsidRPr="002D04A9" w14:paraId="4E04A40D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C024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Конструкционно допустимая общая масса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0549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36000 [кг]</w:t>
            </w:r>
          </w:p>
        </w:tc>
      </w:tr>
      <w:tr w:rsidR="002D04A9" w:rsidRPr="002D04A9" w14:paraId="510C7BEB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65B18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Допустимая полная масса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6F6D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33000 [кг]</w:t>
            </w:r>
          </w:p>
        </w:tc>
      </w:tr>
      <w:tr w:rsidR="002D04A9" w:rsidRPr="002D04A9" w14:paraId="54B40625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ABF9C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Грузоподъемность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AA53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22700* [кг]</w:t>
            </w:r>
          </w:p>
        </w:tc>
      </w:tr>
      <w:tr w:rsidR="002D04A9" w:rsidRPr="002D04A9" w14:paraId="702977BE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AB09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Собственная масса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A39D6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10300* [кг]</w:t>
            </w:r>
          </w:p>
        </w:tc>
      </w:tr>
      <w:tr w:rsidR="002D04A9" w:rsidRPr="002D04A9" w14:paraId="5DCCE7E0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3AC4A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Грузовместимость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53487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34 [м</w:t>
            </w:r>
            <w:r w:rsidRPr="002D04A9">
              <w:rPr>
                <w:rFonts w:ascii="PT Sans" w:hAnsi="PT Sans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]</w:t>
            </w:r>
          </w:p>
        </w:tc>
      </w:tr>
      <w:tr w:rsidR="002D04A9" w:rsidRPr="002D04A9" w14:paraId="59AA866B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85C23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Производительность при выгрузке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36370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200 – 400 [т/ч]</w:t>
            </w:r>
          </w:p>
        </w:tc>
      </w:tr>
      <w:tr w:rsidR="002D04A9" w:rsidRPr="002D04A9" w14:paraId="73B4CFAE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3A2B0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Внутренняя длина кузова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548C1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7265 [мм]</w:t>
            </w:r>
          </w:p>
        </w:tc>
      </w:tr>
      <w:tr w:rsidR="002D04A9" w:rsidRPr="002D04A9" w14:paraId="4E4FAF44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2F8F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Внутренняя ширина кузова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69C7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2492 [мм]</w:t>
            </w:r>
          </w:p>
        </w:tc>
      </w:tr>
      <w:tr w:rsidR="002D04A9" w:rsidRPr="002D04A9" w14:paraId="5D67459D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3917A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Габаритные размеры (длина/ширина/высота)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0E3FD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10392/2900/3660 [мм]</w:t>
            </w:r>
          </w:p>
        </w:tc>
      </w:tr>
      <w:tr w:rsidR="002D04A9" w:rsidRPr="002D04A9" w14:paraId="1990CEC1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76AB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Высота бортов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367C4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1440+340 [мм]</w:t>
            </w:r>
          </w:p>
        </w:tc>
      </w:tr>
      <w:tr w:rsidR="002D04A9" w:rsidRPr="002D04A9" w14:paraId="556B0548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8206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Толщина металла пола/стенок/надставных бортов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1E0F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4/4/3 [мм]</w:t>
            </w:r>
          </w:p>
        </w:tc>
      </w:tr>
      <w:tr w:rsidR="002D04A9" w:rsidRPr="002D04A9" w14:paraId="028D1845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8136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Высота верхнего края бункера от поверхности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B73A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3415 [мм]</w:t>
            </w:r>
          </w:p>
        </w:tc>
      </w:tr>
      <w:tr w:rsidR="002D04A9" w:rsidRPr="002D04A9" w14:paraId="02A039E9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CDA1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Колесная колея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8D07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2200 [мм]</w:t>
            </w:r>
          </w:p>
        </w:tc>
      </w:tr>
      <w:tr w:rsidR="002D04A9" w:rsidRPr="002D04A9" w14:paraId="6F65D12F" w14:textId="77777777" w:rsidTr="002D04A9">
        <w:trPr>
          <w:trHeight w:val="518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5691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Подвеска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D7FC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тридем</w:t>
            </w:r>
            <w:proofErr w:type="spellEnd"/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на параболических рессорах с активной системой поворота</w:t>
            </w:r>
          </w:p>
        </w:tc>
      </w:tr>
      <w:tr w:rsidR="002D04A9" w:rsidRPr="002D04A9" w14:paraId="390B944D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F4FB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Нагрузка на петлю дышла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133A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3000 [кг]</w:t>
            </w:r>
          </w:p>
        </w:tc>
      </w:tr>
      <w:tr w:rsidR="002D04A9" w:rsidRPr="002D04A9" w14:paraId="79D01E00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52E1C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Размер шин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9D5F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700/50-26,5</w:t>
            </w:r>
          </w:p>
        </w:tc>
      </w:tr>
      <w:tr w:rsidR="002D04A9" w:rsidRPr="002D04A9" w14:paraId="238C84B6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BD3B2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Конструкционная скорость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2A83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40 [км/ч]</w:t>
            </w:r>
          </w:p>
        </w:tc>
      </w:tr>
      <w:tr w:rsidR="002D04A9" w:rsidRPr="002D04A9" w14:paraId="04EBB542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BF888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Требуемая мощность трактора, не менее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5F03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220/161,7 [л.с./кВт]</w:t>
            </w:r>
          </w:p>
        </w:tc>
      </w:tr>
      <w:tr w:rsidR="002D04A9" w:rsidRPr="002D04A9" w14:paraId="1C44B311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5D2C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Шнек с гидравлическим способом складывания: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443AA" w14:textId="77777777" w:rsidR="002D04A9" w:rsidRPr="002D04A9" w:rsidRDefault="002D04A9" w:rsidP="002D04A9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</w:tr>
      <w:tr w:rsidR="002D04A9" w:rsidRPr="002D04A9" w14:paraId="45967F80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652A5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Диаметр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31A6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430 [мм]</w:t>
            </w:r>
          </w:p>
        </w:tc>
      </w:tr>
      <w:tr w:rsidR="002D04A9" w:rsidRPr="002D04A9" w14:paraId="1AC9D2A5" w14:textId="77777777" w:rsidTr="002D04A9">
        <w:trPr>
          <w:trHeight w:val="266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6354E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Длина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C914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5170 [мм]</w:t>
            </w:r>
          </w:p>
        </w:tc>
      </w:tr>
      <w:tr w:rsidR="002D04A9" w:rsidRPr="002D04A9" w14:paraId="6D48BB1A" w14:textId="77777777" w:rsidTr="002D04A9">
        <w:trPr>
          <w:trHeight w:val="252"/>
          <w:tblCellSpacing w:w="15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2B744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Высота до края выгрузочного люка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D95CD" w14:textId="77777777" w:rsidR="002D04A9" w:rsidRPr="002D04A9" w:rsidRDefault="002D04A9" w:rsidP="002D04A9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2D04A9">
              <w:rPr>
                <w:rFonts w:ascii="PT Sans" w:hAnsi="PT Sans"/>
                <w:sz w:val="24"/>
                <w:szCs w:val="24"/>
                <w:lang w:val="ru-RU" w:eastAsia="ru-RU"/>
              </w:rPr>
              <w:t>4565 – 4865 [мм]</w:t>
            </w:r>
          </w:p>
        </w:tc>
      </w:tr>
    </w:tbl>
    <w:p w14:paraId="424A0393" w14:textId="77777777" w:rsidR="002D04A9" w:rsidRPr="00E05CAA" w:rsidRDefault="002D04A9" w:rsidP="00E05CA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2E7D1DCF" w14:textId="2294D206" w:rsidR="002D04A9" w:rsidRPr="00E05CAA" w:rsidRDefault="002D04A9" w:rsidP="002D04A9">
      <w:pPr>
        <w:pStyle w:val="a3"/>
        <w:widowControl/>
        <w:autoSpaceDE/>
        <w:autoSpaceDN/>
        <w:spacing w:before="100" w:beforeAutospacing="1" w:after="100" w:afterAutospacing="1"/>
        <w:ind w:left="720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E05CAA">
        <w:rPr>
          <w:rFonts w:ascii="PT Sans" w:hAnsi="PT Sans"/>
          <w:b/>
          <w:bCs/>
          <w:sz w:val="24"/>
          <w:szCs w:val="24"/>
          <w:lang w:val="ru-RU" w:eastAsia="ru-RU"/>
        </w:rPr>
        <w:t>Стандартная комплектация</w:t>
      </w:r>
      <w:r w:rsidRPr="00E05CAA">
        <w:rPr>
          <w:rFonts w:ascii="PT Sans" w:hAnsi="PT Sans"/>
          <w:b/>
          <w:bCs/>
          <w:sz w:val="24"/>
          <w:szCs w:val="24"/>
          <w:lang w:val="ru-RU" w:eastAsia="ru-RU"/>
        </w:rPr>
        <w:t>:</w:t>
      </w:r>
    </w:p>
    <w:p w14:paraId="1F55796B" w14:textId="359B4138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 xml:space="preserve">Моноблочный кузов с </w:t>
      </w:r>
      <w:proofErr w:type="spellStart"/>
      <w:r w:rsidRPr="002D04A9">
        <w:rPr>
          <w:rFonts w:ascii="PT Sans" w:hAnsi="PT Sans"/>
          <w:sz w:val="24"/>
          <w:szCs w:val="24"/>
          <w:lang w:val="ru-RU" w:eastAsia="ru-RU"/>
        </w:rPr>
        <w:t>восьмиточечной</w:t>
      </w:r>
      <w:proofErr w:type="spellEnd"/>
      <w:r w:rsidRPr="002D04A9">
        <w:rPr>
          <w:rFonts w:ascii="PT Sans" w:hAnsi="PT Sans"/>
          <w:sz w:val="24"/>
          <w:szCs w:val="24"/>
          <w:lang w:val="ru-RU" w:eastAsia="ru-RU"/>
        </w:rPr>
        <w:t xml:space="preserve"> системой крепления</w:t>
      </w:r>
    </w:p>
    <w:p w14:paraId="5D4F9ED0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Неподвижное дышло, соединённое с рамой для подключения к нижнему зацепу трактора</w:t>
      </w:r>
    </w:p>
    <w:p w14:paraId="1F2289F2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Дышло с неподвижной шаровой тягой К80 мм для подключения к нижнему зацепу трактора</w:t>
      </w:r>
    </w:p>
    <w:p w14:paraId="3BC91F2C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Телескопическая опора дышла с двухступенчатой передачей</w:t>
      </w:r>
    </w:p>
    <w:p w14:paraId="60D25365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 xml:space="preserve">Подвеска </w:t>
      </w:r>
      <w:proofErr w:type="spellStart"/>
      <w:r w:rsidRPr="002D04A9">
        <w:rPr>
          <w:rFonts w:ascii="PT Sans" w:hAnsi="PT Sans"/>
          <w:sz w:val="24"/>
          <w:szCs w:val="24"/>
          <w:lang w:val="ru-RU" w:eastAsia="ru-RU"/>
        </w:rPr>
        <w:t>тридем</w:t>
      </w:r>
      <w:proofErr w:type="spellEnd"/>
      <w:r w:rsidRPr="002D04A9">
        <w:rPr>
          <w:rFonts w:ascii="PT Sans" w:hAnsi="PT Sans"/>
          <w:sz w:val="24"/>
          <w:szCs w:val="24"/>
          <w:lang w:val="ru-RU" w:eastAsia="ru-RU"/>
        </w:rPr>
        <w:t xml:space="preserve"> на параболических рессорах с колесной базой 1810мм, с неподвижной средней и двумя активно управляемыми осями</w:t>
      </w:r>
    </w:p>
    <w:p w14:paraId="7F456B0F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Гидравлическая система поворота с ручным насосом</w:t>
      </w:r>
    </w:p>
    <w:p w14:paraId="6746BC95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Подключение к трактору системы рулевого управления в соответствии с ISO 26402 (прицеп не оборудован системой рулевого управления от трактора)</w:t>
      </w:r>
    </w:p>
    <w:p w14:paraId="0BA64EE5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Барабанная тормозная система размером 400х140</w:t>
      </w:r>
    </w:p>
    <w:p w14:paraId="7AE13E7D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Двухпроводная пневматическая тормозная система</w:t>
      </w:r>
    </w:p>
    <w:p w14:paraId="7A07D0C1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Пневматический стояночный тормоз</w:t>
      </w:r>
    </w:p>
    <w:p w14:paraId="15265A0E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Гидравлически складывающийся двухсегментный шнек спереди</w:t>
      </w:r>
    </w:p>
    <w:p w14:paraId="6CE24EA7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Гидравлическая блокировка механизма для безопасности складывания переднего шнека</w:t>
      </w:r>
    </w:p>
    <w:p w14:paraId="52F17A20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Профилированные борта с дополнительными элементами для жесткости конструкции и надставные борта 340 мм</w:t>
      </w:r>
    </w:p>
    <w:p w14:paraId="1EB7FC69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Каркас для тента</w:t>
      </w:r>
    </w:p>
    <w:p w14:paraId="25C66D0A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Четыре смотровых окна для контроля очищения бункера</w:t>
      </w:r>
    </w:p>
    <w:p w14:paraId="7FE9705F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Смотровое окно для очищения бункера гидравлически управляемое</w:t>
      </w:r>
    </w:p>
    <w:p w14:paraId="526611F6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Три окна для контроля уровня наполнения в бункере</w:t>
      </w:r>
    </w:p>
    <w:p w14:paraId="34F1671D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Двойной напольный транспортёр</w:t>
      </w:r>
    </w:p>
    <w:p w14:paraId="26B59A55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Двухступенчатая регулировка скорости перемещения напольных транспортёров</w:t>
      </w:r>
    </w:p>
    <w:p w14:paraId="36C2E9AC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Крылья над колесами</w:t>
      </w:r>
    </w:p>
    <w:p w14:paraId="3E1822C7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Складная лестница для легкого доступа в бункер</w:t>
      </w:r>
    </w:p>
    <w:p w14:paraId="778FF798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Подпорные клинья (2 шт.) под колеса с оцинкованными карманами</w:t>
      </w:r>
    </w:p>
    <w:p w14:paraId="35729A84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Балкон и складная лестница для легкого доступа к бункеру</w:t>
      </w:r>
    </w:p>
    <w:p w14:paraId="2C3F40C9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Система освещения 12V</w:t>
      </w:r>
    </w:p>
    <w:p w14:paraId="09640537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Платформа внутри кузова по всей длине</w:t>
      </w:r>
    </w:p>
    <w:p w14:paraId="024B14BE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Высокопрочные двухкомпонентные лакокрасочные материалы с высокой стойкостью к ультрафиолетовому излучению</w:t>
      </w:r>
    </w:p>
    <w:p w14:paraId="06B5C67C" w14:textId="77777777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Цвет покраски шасси красный RAL3000</w:t>
      </w:r>
    </w:p>
    <w:p w14:paraId="1A3EC849" w14:textId="1C4BD33D" w:rsidR="002D04A9" w:rsidRDefault="002D04A9" w:rsidP="002D04A9">
      <w:pPr>
        <w:pStyle w:val="a3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Цвет покраски бункера зелёный RAL6010</w:t>
      </w:r>
    </w:p>
    <w:p w14:paraId="23F379B1" w14:textId="78D72BD6" w:rsidR="00306760" w:rsidRDefault="00306760" w:rsidP="00306760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71B9B2BD" w14:textId="77777777" w:rsidR="00306760" w:rsidRPr="00306760" w:rsidRDefault="00306760" w:rsidP="00306760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75966B76" w14:textId="77777777" w:rsidR="002D04A9" w:rsidRPr="002D04A9" w:rsidRDefault="002D04A9" w:rsidP="002D04A9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2D04A9">
        <w:rPr>
          <w:rFonts w:ascii="PT Sans" w:hAnsi="PT Sans"/>
          <w:b/>
          <w:bCs/>
          <w:sz w:val="24"/>
          <w:szCs w:val="24"/>
          <w:lang w:val="ru-RU" w:eastAsia="ru-RU"/>
        </w:rPr>
        <w:lastRenderedPageBreak/>
        <w:t>Дополнительная комплектация:</w:t>
      </w:r>
    </w:p>
    <w:p w14:paraId="26A590FE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Двухпроводная пневматическая тормозная система с ALB</w:t>
      </w:r>
    </w:p>
    <w:p w14:paraId="38B83551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Однопроводная пневматическая тормозная система</w:t>
      </w:r>
    </w:p>
    <w:p w14:paraId="0DE2447D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Гидравлическая тормозная система</w:t>
      </w:r>
    </w:p>
    <w:p w14:paraId="3C6A1DA4" w14:textId="36F9841C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>
        <w:rPr>
          <w:rFonts w:ascii="PT Sans" w:hAnsi="PT Sans"/>
          <w:sz w:val="24"/>
          <w:szCs w:val="24"/>
          <w:lang w:val="ru-RU" w:eastAsia="ru-RU"/>
        </w:rPr>
        <w:t>С</w:t>
      </w:r>
      <w:r w:rsidRPr="002D04A9">
        <w:rPr>
          <w:rFonts w:ascii="PT Sans" w:hAnsi="PT Sans"/>
          <w:sz w:val="24"/>
          <w:szCs w:val="24"/>
          <w:lang w:val="ru-RU" w:eastAsia="ru-RU"/>
        </w:rPr>
        <w:t>истема взвешивания с ЖК-дисплеем</w:t>
      </w:r>
    </w:p>
    <w:p w14:paraId="4DFFF930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Печатающее устройство</w:t>
      </w:r>
    </w:p>
    <w:p w14:paraId="700793C1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Эластичная ссыпная труба</w:t>
      </w:r>
    </w:p>
    <w:p w14:paraId="6DBC53D6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Свертывающийся тент</w:t>
      </w:r>
    </w:p>
    <w:p w14:paraId="6CE93B57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Запасное колесо 700/50-26.5</w:t>
      </w:r>
    </w:p>
    <w:p w14:paraId="4A966986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Покраска в другой цвет согласно каталогу RAL CLASSIC для промышленного применения (в заказе требуется указать RAL CLASSIC и четыре цифры из палитры)</w:t>
      </w:r>
    </w:p>
    <w:p w14:paraId="075B0955" w14:textId="77777777" w:rsidR="002D04A9" w:rsidRPr="002D04A9" w:rsidRDefault="002D04A9" w:rsidP="002D04A9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2D04A9">
        <w:rPr>
          <w:rFonts w:ascii="PT Sans" w:hAnsi="PT Sans"/>
          <w:sz w:val="24"/>
          <w:szCs w:val="24"/>
          <w:lang w:val="ru-RU" w:eastAsia="ru-RU"/>
        </w:rPr>
        <w:t>Предупредительный знак (треугольник)</w:t>
      </w:r>
    </w:p>
    <w:p w14:paraId="2CE264E7" w14:textId="148BBB15" w:rsidR="00697AE9" w:rsidRPr="002D04A9" w:rsidRDefault="00E82FBA" w:rsidP="004D6F22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bCs/>
          <w:sz w:val="28"/>
          <w:szCs w:val="28"/>
        </w:rPr>
      </w:pPr>
      <w:r w:rsidRPr="002D04A9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2D04A9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2D04A9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2D90" w14:textId="77777777" w:rsidR="00DF5186" w:rsidRDefault="00DF5186" w:rsidP="00BD4A52">
      <w:r>
        <w:separator/>
      </w:r>
    </w:p>
  </w:endnote>
  <w:endnote w:type="continuationSeparator" w:id="0">
    <w:p w14:paraId="16018934" w14:textId="77777777" w:rsidR="00DF5186" w:rsidRDefault="00DF5186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4FA4" w14:textId="77777777" w:rsidR="00DF5186" w:rsidRDefault="00DF5186" w:rsidP="00BD4A52">
      <w:r>
        <w:separator/>
      </w:r>
    </w:p>
  </w:footnote>
  <w:footnote w:type="continuationSeparator" w:id="0">
    <w:p w14:paraId="149A69F0" w14:textId="77777777" w:rsidR="00DF5186" w:rsidRDefault="00DF5186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3E7"/>
    <w:multiLevelType w:val="multilevel"/>
    <w:tmpl w:val="5EA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F72FA"/>
    <w:multiLevelType w:val="multilevel"/>
    <w:tmpl w:val="4B10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8" w15:restartNumberingAfterBreak="0">
    <w:nsid w:val="27F2343C"/>
    <w:multiLevelType w:val="multilevel"/>
    <w:tmpl w:val="278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61EC5"/>
    <w:multiLevelType w:val="hybridMultilevel"/>
    <w:tmpl w:val="38B02C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B7989"/>
    <w:multiLevelType w:val="multilevel"/>
    <w:tmpl w:val="8F0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8804EA"/>
    <w:multiLevelType w:val="hybridMultilevel"/>
    <w:tmpl w:val="7D1061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66503A"/>
    <w:multiLevelType w:val="hybridMultilevel"/>
    <w:tmpl w:val="1C728C9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C7B331E"/>
    <w:multiLevelType w:val="multilevel"/>
    <w:tmpl w:val="98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A6185"/>
    <w:multiLevelType w:val="hybridMultilevel"/>
    <w:tmpl w:val="DF86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34DC3"/>
    <w:multiLevelType w:val="hybridMultilevel"/>
    <w:tmpl w:val="FFC4CBDC"/>
    <w:lvl w:ilvl="0" w:tplc="E924B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33"/>
  </w:num>
  <w:num w:numId="2" w16cid:durableId="285625865">
    <w:abstractNumId w:val="26"/>
  </w:num>
  <w:num w:numId="3" w16cid:durableId="1859392371">
    <w:abstractNumId w:val="35"/>
  </w:num>
  <w:num w:numId="4" w16cid:durableId="1401363856">
    <w:abstractNumId w:val="22"/>
  </w:num>
  <w:num w:numId="5" w16cid:durableId="891236158">
    <w:abstractNumId w:val="15"/>
  </w:num>
  <w:num w:numId="6" w16cid:durableId="328951866">
    <w:abstractNumId w:val="17"/>
  </w:num>
  <w:num w:numId="7" w16cid:durableId="1223444848">
    <w:abstractNumId w:val="25"/>
  </w:num>
  <w:num w:numId="8" w16cid:durableId="174420991">
    <w:abstractNumId w:val="34"/>
  </w:num>
  <w:num w:numId="9" w16cid:durableId="1217165649">
    <w:abstractNumId w:val="1"/>
  </w:num>
  <w:num w:numId="10" w16cid:durableId="869611220">
    <w:abstractNumId w:val="36"/>
  </w:num>
  <w:num w:numId="11" w16cid:durableId="601298493">
    <w:abstractNumId w:val="23"/>
  </w:num>
  <w:num w:numId="12" w16cid:durableId="1158569821">
    <w:abstractNumId w:val="12"/>
  </w:num>
  <w:num w:numId="13" w16cid:durableId="818884648">
    <w:abstractNumId w:val="9"/>
  </w:num>
  <w:num w:numId="14" w16cid:durableId="541284867">
    <w:abstractNumId w:val="4"/>
  </w:num>
  <w:num w:numId="15" w16cid:durableId="1143549173">
    <w:abstractNumId w:val="37"/>
  </w:num>
  <w:num w:numId="16" w16cid:durableId="866410088">
    <w:abstractNumId w:val="14"/>
  </w:num>
  <w:num w:numId="17" w16cid:durableId="1962296911">
    <w:abstractNumId w:val="20"/>
  </w:num>
  <w:num w:numId="18" w16cid:durableId="264188524">
    <w:abstractNumId w:val="18"/>
  </w:num>
  <w:num w:numId="19" w16cid:durableId="1587884639">
    <w:abstractNumId w:val="10"/>
  </w:num>
  <w:num w:numId="20" w16cid:durableId="597641251">
    <w:abstractNumId w:val="0"/>
  </w:num>
  <w:num w:numId="21" w16cid:durableId="666978437">
    <w:abstractNumId w:val="30"/>
  </w:num>
  <w:num w:numId="22" w16cid:durableId="1425147172">
    <w:abstractNumId w:val="21"/>
  </w:num>
  <w:num w:numId="23" w16cid:durableId="1415740917">
    <w:abstractNumId w:val="11"/>
  </w:num>
  <w:num w:numId="24" w16cid:durableId="58210980">
    <w:abstractNumId w:val="3"/>
  </w:num>
  <w:num w:numId="25" w16cid:durableId="353503530">
    <w:abstractNumId w:val="16"/>
  </w:num>
  <w:num w:numId="26" w16cid:durableId="1386444743">
    <w:abstractNumId w:val="7"/>
  </w:num>
  <w:num w:numId="27" w16cid:durableId="1527063348">
    <w:abstractNumId w:val="6"/>
  </w:num>
  <w:num w:numId="28" w16cid:durableId="1273633196">
    <w:abstractNumId w:val="19"/>
  </w:num>
  <w:num w:numId="29" w16cid:durableId="314843725">
    <w:abstractNumId w:val="8"/>
  </w:num>
  <w:num w:numId="30" w16cid:durableId="67045858">
    <w:abstractNumId w:val="32"/>
  </w:num>
  <w:num w:numId="31" w16cid:durableId="232089564">
    <w:abstractNumId w:val="28"/>
  </w:num>
  <w:num w:numId="32" w16cid:durableId="412699183">
    <w:abstractNumId w:val="29"/>
  </w:num>
  <w:num w:numId="33" w16cid:durableId="778140262">
    <w:abstractNumId w:val="5"/>
  </w:num>
  <w:num w:numId="34" w16cid:durableId="1930194626">
    <w:abstractNumId w:val="2"/>
  </w:num>
  <w:num w:numId="35" w16cid:durableId="851845780">
    <w:abstractNumId w:val="24"/>
  </w:num>
  <w:num w:numId="36" w16cid:durableId="175537849">
    <w:abstractNumId w:val="31"/>
  </w:num>
  <w:num w:numId="37" w16cid:durableId="447772987">
    <w:abstractNumId w:val="13"/>
  </w:num>
  <w:num w:numId="38" w16cid:durableId="2858146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03045"/>
    <w:rsid w:val="001035C0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04A9"/>
    <w:rsid w:val="002D6856"/>
    <w:rsid w:val="002D7A16"/>
    <w:rsid w:val="002E7F82"/>
    <w:rsid w:val="003034E4"/>
    <w:rsid w:val="00306760"/>
    <w:rsid w:val="003072EA"/>
    <w:rsid w:val="003246F4"/>
    <w:rsid w:val="00370B50"/>
    <w:rsid w:val="00385031"/>
    <w:rsid w:val="00394083"/>
    <w:rsid w:val="003D645B"/>
    <w:rsid w:val="003E3B77"/>
    <w:rsid w:val="00417D92"/>
    <w:rsid w:val="004A53BC"/>
    <w:rsid w:val="004B75EA"/>
    <w:rsid w:val="004C0F35"/>
    <w:rsid w:val="004D6F22"/>
    <w:rsid w:val="00500AF9"/>
    <w:rsid w:val="005332B2"/>
    <w:rsid w:val="00541977"/>
    <w:rsid w:val="00550540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6F18A7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52B82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73D08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C3D5F"/>
    <w:rsid w:val="00DF22EB"/>
    <w:rsid w:val="00DF5186"/>
    <w:rsid w:val="00E02CAB"/>
    <w:rsid w:val="00E05CAA"/>
    <w:rsid w:val="00E254AB"/>
    <w:rsid w:val="00E31F9E"/>
    <w:rsid w:val="00E32795"/>
    <w:rsid w:val="00E44F51"/>
    <w:rsid w:val="00E46E93"/>
    <w:rsid w:val="00E71965"/>
    <w:rsid w:val="00E74368"/>
    <w:rsid w:val="00E82FBA"/>
    <w:rsid w:val="00EC3D07"/>
    <w:rsid w:val="00EC6E59"/>
    <w:rsid w:val="00EF174D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customStyle="1" w:styleId="Tekstpodstawowy31">
    <w:name w:val="Tekst podstawowy 31"/>
    <w:basedOn w:val="a"/>
    <w:rsid w:val="00385031"/>
    <w:pPr>
      <w:widowControl/>
      <w:suppressAutoHyphens/>
      <w:autoSpaceDE/>
      <w:autoSpaceDN/>
    </w:pPr>
    <w:rPr>
      <w:rFonts w:ascii="Arial" w:hAnsi="Arial" w:cs="Arial"/>
      <w:b/>
      <w:bCs/>
      <w:sz w:val="24"/>
      <w:szCs w:val="20"/>
      <w:lang w:val="pl-PL" w:eastAsia="ar-SA"/>
    </w:rPr>
  </w:style>
  <w:style w:type="paragraph" w:styleId="afb">
    <w:basedOn w:val="a"/>
    <w:next w:val="ac"/>
    <w:uiPriority w:val="99"/>
    <w:unhideWhenUsed/>
    <w:rsid w:val="001030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">
    <w:name w:val="p2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1">
    <w:name w:val="s1"/>
    <w:basedOn w:val="a0"/>
    <w:rsid w:val="00E44F51"/>
  </w:style>
  <w:style w:type="paragraph" w:customStyle="1" w:styleId="p4">
    <w:name w:val="p4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2">
    <w:name w:val="s2"/>
    <w:basedOn w:val="a0"/>
    <w:rsid w:val="00E44F51"/>
  </w:style>
  <w:style w:type="paragraph" w:customStyle="1" w:styleId="p5">
    <w:name w:val="p5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E44F51"/>
  </w:style>
  <w:style w:type="paragraph" w:customStyle="1" w:styleId="p6">
    <w:name w:val="p6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0">
    <w:name w:val="p10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4">
    <w:name w:val="s4"/>
    <w:basedOn w:val="a0"/>
    <w:rsid w:val="00E44F51"/>
  </w:style>
  <w:style w:type="paragraph" w:customStyle="1" w:styleId="p11">
    <w:name w:val="p11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5">
    <w:name w:val="s5"/>
    <w:basedOn w:val="a0"/>
    <w:rsid w:val="00E44F51"/>
  </w:style>
  <w:style w:type="paragraph" w:customStyle="1" w:styleId="p12">
    <w:name w:val="p12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3">
    <w:name w:val="p13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4">
    <w:name w:val="p14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6">
    <w:name w:val="p16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8">
    <w:name w:val="p18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9">
    <w:name w:val="p19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0">
    <w:name w:val="p20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1">
    <w:name w:val="p21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2">
    <w:name w:val="p22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3">
    <w:name w:val="p23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4">
    <w:name w:val="p24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25">
    <w:name w:val="p25"/>
    <w:basedOn w:val="a"/>
    <w:rsid w:val="00E4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2022-12-19T11:08:00Z</dcterms:created>
  <dcterms:modified xsi:type="dcterms:W3CDTF">2022-12-19T11:08:00Z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